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38"/>
        <w:rPr>
          <w:sz w:val="20"/>
        </w:rPr>
      </w:pPr>
      <w:bookmarkStart w:name="Relatório COAUD - DF's 2024 (9514146)" w:id="1"/>
      <w:bookmarkEnd w:id="1"/>
      <w:r>
        <w:rPr/>
      </w:r>
      <w:r>
        <w:rPr>
          <w:sz w:val="20"/>
        </w:rPr>
        <w:drawing>
          <wp:inline distT="0" distB="0" distL="0" distR="0">
            <wp:extent cx="1824521" cy="76542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521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99" w:lineRule="exact" w:before="74"/>
        <w:ind w:left="15" w:right="15" w:firstLine="0"/>
        <w:jc w:val="center"/>
        <w:rPr>
          <w:sz w:val="26"/>
        </w:rPr>
      </w:pPr>
      <w:r>
        <w:rPr>
          <w:spacing w:val="-2"/>
          <w:sz w:val="26"/>
        </w:rPr>
        <w:t>PORTOSRIO</w:t>
      </w:r>
    </w:p>
    <w:p>
      <w:pPr>
        <w:spacing w:line="299" w:lineRule="exact" w:before="0"/>
        <w:ind w:left="9" w:right="15" w:firstLine="0"/>
        <w:jc w:val="center"/>
        <w:rPr>
          <w:sz w:val="26"/>
        </w:rPr>
      </w:pPr>
      <w:r>
        <w:rPr>
          <w:sz w:val="26"/>
        </w:rPr>
        <w:t>COMITÊ</w:t>
      </w:r>
      <w:r>
        <w:rPr>
          <w:spacing w:val="-7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AUDITORIA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ESTATUTÁRIO</w:t>
      </w:r>
    </w:p>
    <w:p>
      <w:pPr>
        <w:pStyle w:val="Title"/>
      </w:pPr>
      <w:r>
        <w:rPr/>
        <w:t>RELATÓRIO DAS DEMONSTRAÇÕES FINANCEIRAS REFERENTE AO EXERCÍCIO SOCIAL FINDO 31/12/2024</w:t>
      </w:r>
    </w:p>
    <w:p>
      <w:pPr>
        <w:pStyle w:val="BodyText"/>
        <w:spacing w:before="245"/>
        <w:ind w:left="6955"/>
      </w:pPr>
      <w:r>
        <w:rPr/>
        <w:t>Rio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Janeiro,</w:t>
      </w:r>
      <w:r>
        <w:rPr>
          <w:spacing w:val="-6"/>
        </w:rPr>
        <w:t> </w:t>
      </w:r>
      <w:r>
        <w:rPr/>
        <w:t>17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março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2025.</w:t>
      </w:r>
    </w:p>
    <w:p>
      <w:pPr>
        <w:pStyle w:val="BodyText"/>
        <w:spacing w:before="234"/>
      </w:pPr>
    </w:p>
    <w:p>
      <w:pPr>
        <w:spacing w:before="1"/>
        <w:ind w:left="242" w:right="0" w:firstLine="0"/>
        <w:jc w:val="left"/>
        <w:rPr>
          <w:b/>
          <w:sz w:val="24"/>
        </w:rPr>
      </w:pPr>
      <w:r>
        <w:rPr>
          <w:b/>
          <w:spacing w:val="-5"/>
          <w:sz w:val="24"/>
        </w:rPr>
        <w:t>Ao</w:t>
      </w:r>
    </w:p>
    <w:p>
      <w:pPr>
        <w:spacing w:before="117"/>
        <w:ind w:left="242" w:right="0" w:firstLine="0"/>
        <w:jc w:val="left"/>
        <w:rPr>
          <w:b/>
          <w:sz w:val="24"/>
        </w:rPr>
      </w:pPr>
      <w:r>
        <w:rPr>
          <w:b/>
          <w:sz w:val="24"/>
        </w:rPr>
        <w:t>Conselho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Administração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PORTOSRIO</w:t>
      </w:r>
    </w:p>
    <w:p>
      <w:pPr>
        <w:pStyle w:val="BodyText"/>
        <w:spacing w:before="23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237"/>
        <w:jc w:val="left"/>
        <w:rPr>
          <w:b/>
          <w:sz w:val="24"/>
        </w:rPr>
      </w:pPr>
      <w:r>
        <w:rPr>
          <w:b/>
          <w:spacing w:val="-2"/>
          <w:sz w:val="24"/>
        </w:rPr>
        <w:t>INTRODUÇÃO</w:t>
      </w:r>
    </w:p>
    <w:p>
      <w:pPr>
        <w:pStyle w:val="BodyText"/>
        <w:spacing w:before="118"/>
        <w:ind w:left="242" w:right="243"/>
        <w:jc w:val="both"/>
      </w:pPr>
      <w:r>
        <w:rPr/>
        <w:t>Conforme o art. 113 do Estatuto Social da Companhia Docas do Rio de Janeiro - PORTOSRIO, o Comitê de Auditoria Estatutário – COAUD, composto por 03 membros independentes eleitos pelo Conselho de Administração em atendimento à lei federal n° 13.303/2016 (Lei das Estatais) e ao Estatuto Social da CDRJ, é o órgão de suporte ao Conselho de</w:t>
      </w:r>
      <w:r>
        <w:rPr>
          <w:spacing w:val="-8"/>
        </w:rPr>
        <w:t> </w:t>
      </w:r>
      <w:r>
        <w:rPr/>
        <w:t>Administração para o exercício de suas funções de auditoria e fiscalização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qualidade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demonstrações</w:t>
      </w:r>
      <w:r>
        <w:rPr>
          <w:spacing w:val="-3"/>
        </w:rPr>
        <w:t> </w:t>
      </w:r>
      <w:r>
        <w:rPr/>
        <w:t>financeiras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efetividade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sistemas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controle</w:t>
      </w:r>
      <w:r>
        <w:rPr>
          <w:spacing w:val="-3"/>
        </w:rPr>
        <w:t> </w:t>
      </w:r>
      <w:r>
        <w:rPr/>
        <w:t>interno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 auditoria interna e independente. O COAUD não tem poder decisório ou atribuições executivas. Suas funções e responsabilidades são desempenhadas em cumprimento às atribuições legais aplicáveis e </w:t>
      </w:r>
      <w:r>
        <w:rPr>
          <w:spacing w:val="-2"/>
        </w:rPr>
        <w:t>estatutárias.</w:t>
      </w:r>
    </w:p>
    <w:p>
      <w:pPr>
        <w:pStyle w:val="BodyText"/>
        <w:spacing w:before="222"/>
      </w:pP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9" w:right="0" w:hanging="237"/>
        <w:jc w:val="left"/>
      </w:pPr>
      <w:r>
        <w:rPr>
          <w:spacing w:val="-2"/>
        </w:rPr>
        <w:t>COMPETÊNCIAS</w:t>
      </w:r>
    </w:p>
    <w:p>
      <w:pPr>
        <w:pStyle w:val="BodyText"/>
        <w:spacing w:before="117"/>
        <w:ind w:left="242" w:right="240"/>
        <w:jc w:val="both"/>
      </w:pPr>
      <w:r>
        <w:rPr/>
        <w:t>A Administração é responsável pela elaboração das demonstrações financeiras da PORTOSRIO, observadas as diretrizes de assegurar a qualidade dos processos relacionados às informações financeiras e às atividades de controle e de gestão de riscos.</w:t>
      </w:r>
    </w:p>
    <w:p>
      <w:pPr>
        <w:pStyle w:val="BodyText"/>
        <w:spacing w:before="114"/>
        <w:ind w:left="242" w:right="245"/>
        <w:jc w:val="both"/>
      </w:pPr>
      <w:r>
        <w:rPr/>
        <w:t>Cabe à empresa de auditoria independente contratada assegurar que as Demonstrações Financeiras representem adequadamente a posição patrimonial e financeira da PORTOSRIO, de acordo com os princípios fundamentais de contabilidade e da legislação societária, bem como a revisão dos controles internos e dos principais riscos.</w:t>
      </w:r>
    </w:p>
    <w:p>
      <w:pPr>
        <w:pStyle w:val="BodyText"/>
        <w:spacing w:before="112"/>
        <w:ind w:left="242" w:right="240"/>
        <w:jc w:val="both"/>
      </w:pPr>
      <w:r>
        <w:rPr/>
        <w:t>Conforme o art. 24, da Lei n. 13.303/16, o COAUD deverá monitorar a qualidade e integridade das demonstrações financeiras, de modo que as informações contábeis sejam sempre apreciadas pelo Comitê antes da aprovação de sua divulgação pelo Conselho de Administração.</w:t>
      </w:r>
    </w:p>
    <w:p>
      <w:pPr>
        <w:pStyle w:val="BodyText"/>
        <w:spacing w:before="114"/>
        <w:ind w:left="242" w:right="244"/>
        <w:jc w:val="both"/>
      </w:pPr>
      <w:r>
        <w:rPr/>
        <w:t>No cumprimento dessa atribuição, o COAUD não é responsável pelo planejamento ou condução de auditorias ou por qualquer afirmação de que as demonstrações financeiras da PORTOSRIO sejam completas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exatas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estejam</w:t>
      </w:r>
      <w:r>
        <w:rPr>
          <w:spacing w:val="-3"/>
        </w:rPr>
        <w:t> </w:t>
      </w:r>
      <w:r>
        <w:rPr/>
        <w:t>apresentadas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acordo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práticas</w:t>
      </w:r>
      <w:r>
        <w:rPr>
          <w:spacing w:val="-2"/>
        </w:rPr>
        <w:t> </w:t>
      </w:r>
      <w:r>
        <w:rPr/>
        <w:t>contábeis</w:t>
      </w:r>
      <w:r>
        <w:rPr>
          <w:spacing w:val="-2"/>
        </w:rPr>
        <w:t> </w:t>
      </w:r>
      <w:r>
        <w:rPr/>
        <w:t>adotadas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Brasil, emitidas</w:t>
      </w:r>
      <w:r>
        <w:rPr>
          <w:spacing w:val="-1"/>
        </w:rPr>
        <w:t> </w:t>
      </w:r>
      <w:r>
        <w:rPr/>
        <w:t>pelo</w:t>
      </w:r>
      <w:r>
        <w:rPr>
          <w:spacing w:val="-1"/>
        </w:rPr>
        <w:t> </w:t>
      </w:r>
      <w:r>
        <w:rPr/>
        <w:t>Comitê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Pronunciamentos</w:t>
      </w:r>
      <w:r>
        <w:rPr>
          <w:spacing w:val="-1"/>
        </w:rPr>
        <w:t> </w:t>
      </w:r>
      <w:r>
        <w:rPr/>
        <w:t>Contábeis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CPC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Normas</w:t>
      </w:r>
      <w:r>
        <w:rPr>
          <w:spacing w:val="-1"/>
        </w:rPr>
        <w:t> </w:t>
      </w:r>
      <w:r>
        <w:rPr/>
        <w:t>Internacionais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Relatórios Financeiros (IFRS), emitidas pelo International Accounting Standards Board (IASB). Esta é uma responsabilidade dos Auditores Independentes. De modo semelhante, no exercício de suas atividades, os membros do Comitê não executam funções de auditores ou contadores.</w:t>
      </w:r>
    </w:p>
    <w:p>
      <w:pPr>
        <w:pStyle w:val="BodyText"/>
        <w:spacing w:before="107"/>
        <w:ind w:left="242" w:right="241"/>
        <w:jc w:val="both"/>
      </w:pPr>
      <w:r>
        <w:rPr/>
        <w:t>As funções do COAUD são desempenhadas principalmente com base nas informações recebidas da Administração, dos auditores independentes, da auditoria interna e dos responsáveis pela elaboração das demonstrações financeiras.</w:t>
      </w:r>
    </w:p>
    <w:p>
      <w:pPr>
        <w:pStyle w:val="BodyText"/>
        <w:spacing w:before="232"/>
      </w:pP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237"/>
        <w:jc w:val="left"/>
      </w:pPr>
      <w:r>
        <w:rPr>
          <w:spacing w:val="-2"/>
        </w:rPr>
        <w:t>ATIVIDADES</w:t>
      </w:r>
      <w:r>
        <w:rPr>
          <w:spacing w:val="-6"/>
        </w:rPr>
        <w:t> </w:t>
      </w:r>
      <w:r>
        <w:rPr>
          <w:spacing w:val="-2"/>
        </w:rPr>
        <w:t>REALIZADAS</w:t>
      </w:r>
    </w:p>
    <w:p>
      <w:pPr>
        <w:pStyle w:val="Heading1"/>
        <w:spacing w:after="0" w:line="240" w:lineRule="auto"/>
        <w:jc w:val="left"/>
        <w:sectPr>
          <w:footerReference w:type="default" r:id="rId5"/>
          <w:type w:val="continuous"/>
          <w:pgSz w:w="11900" w:h="16840"/>
          <w:pgMar w:header="0" w:footer="181" w:top="800" w:bottom="380" w:left="566" w:right="566"/>
          <w:pgNumType w:start="1"/>
        </w:sectPr>
      </w:pPr>
    </w:p>
    <w:p>
      <w:pPr>
        <w:pStyle w:val="BodyText"/>
        <w:spacing w:before="60"/>
        <w:ind w:left="242" w:right="242"/>
        <w:jc w:val="both"/>
      </w:pPr>
      <w:r>
        <w:rPr/>
        <w:t>No exercício social de 2024 o COAUD se reuniu com diversas áreas da companhia, dentre elas: auditoria interna, contabilidade, riscos e conformidade, jurídico, ouvidoria, financeiro, administrativa, patrimônio, sindicâncias, corregedoria, Conselho de Administração, além de diversas reuniões com a Auditoria </w:t>
      </w:r>
      <w:r>
        <w:rPr>
          <w:spacing w:val="-2"/>
        </w:rPr>
        <w:t>Independente.</w:t>
      </w:r>
    </w:p>
    <w:p>
      <w:pPr>
        <w:pStyle w:val="BodyText"/>
        <w:spacing w:before="113"/>
        <w:ind w:left="242" w:right="248"/>
        <w:jc w:val="both"/>
      </w:pPr>
      <w:r>
        <w:rPr/>
        <w:t>O COAUD analisou os procedimentos que envolvem o processo de preparação das Demonstrações Financeiras da Companhia referente ao exercício social findo 31.12.2024.</w:t>
      </w:r>
    </w:p>
    <w:p>
      <w:pPr>
        <w:pStyle w:val="BodyText"/>
        <w:spacing w:before="115"/>
        <w:ind w:left="242" w:right="242"/>
        <w:jc w:val="both"/>
      </w:pPr>
      <w:r>
        <w:rPr/>
        <w:t>O COAUD analisou as demonstrações financeiras referente ao exercício social findo 31.12.2024, aprovadas</w:t>
      </w:r>
      <w:r>
        <w:rPr>
          <w:spacing w:val="-4"/>
        </w:rPr>
        <w:t> </w:t>
      </w:r>
      <w:r>
        <w:rPr/>
        <w:t>pela</w:t>
      </w:r>
      <w:r>
        <w:rPr>
          <w:spacing w:val="-4"/>
        </w:rPr>
        <w:t> </w:t>
      </w:r>
      <w:r>
        <w:rPr/>
        <w:t>Diretoria</w:t>
      </w:r>
      <w:r>
        <w:rPr>
          <w:spacing w:val="-4"/>
        </w:rPr>
        <w:t> </w:t>
      </w:r>
      <w:r>
        <w:rPr/>
        <w:t>Executiva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17.03.2025,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constante</w:t>
      </w:r>
      <w:r>
        <w:rPr>
          <w:spacing w:val="-4"/>
        </w:rPr>
        <w:t> </w:t>
      </w:r>
      <w:r>
        <w:rPr/>
        <w:t>na</w:t>
      </w:r>
      <w:r>
        <w:rPr>
          <w:spacing w:val="-15"/>
        </w:rPr>
        <w:t> </w:t>
      </w:r>
      <w:r>
        <w:rPr/>
        <w:t>Ata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2737ª</w:t>
      </w:r>
      <w:r>
        <w:rPr>
          <w:spacing w:val="-4"/>
        </w:rPr>
        <w:t> </w:t>
      </w:r>
      <w:r>
        <w:rPr/>
        <w:t>Reunião</w:t>
      </w:r>
      <w:r>
        <w:rPr>
          <w:spacing w:val="-4"/>
        </w:rPr>
        <w:t> </w:t>
      </w:r>
      <w:r>
        <w:rPr/>
        <w:t>Ordinária da</w:t>
      </w:r>
      <w:r>
        <w:rPr>
          <w:spacing w:val="-1"/>
        </w:rPr>
        <w:t> </w:t>
      </w:r>
      <w:r>
        <w:rPr/>
        <w:t>Diretoria</w:t>
      </w:r>
      <w:r>
        <w:rPr>
          <w:spacing w:val="-1"/>
        </w:rPr>
        <w:t> </w:t>
      </w:r>
      <w:r>
        <w:rPr/>
        <w:t>Executiva,</w:t>
      </w:r>
      <w:r>
        <w:rPr>
          <w:spacing w:val="-1"/>
        </w:rPr>
        <w:t> </w:t>
      </w:r>
      <w:r>
        <w:rPr/>
        <w:t>compreendendo:</w:t>
      </w:r>
      <w:r>
        <w:rPr>
          <w:spacing w:val="-1"/>
        </w:rPr>
        <w:t> </w:t>
      </w:r>
      <w:r>
        <w:rPr/>
        <w:t>Balanço</w:t>
      </w:r>
      <w:r>
        <w:rPr>
          <w:spacing w:val="-1"/>
        </w:rPr>
        <w:t> </w:t>
      </w:r>
      <w:r>
        <w:rPr/>
        <w:t>Patrimonial,</w:t>
      </w:r>
      <w:r>
        <w:rPr>
          <w:spacing w:val="-1"/>
        </w:rPr>
        <w:t> </w:t>
      </w:r>
      <w:r>
        <w:rPr/>
        <w:t>Demonstração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Resultado,</w:t>
      </w:r>
      <w:r>
        <w:rPr>
          <w:spacing w:val="-1"/>
        </w:rPr>
        <w:t> </w:t>
      </w:r>
      <w:r>
        <w:rPr/>
        <w:t>Demonstração do</w:t>
      </w:r>
      <w:r>
        <w:rPr>
          <w:spacing w:val="-2"/>
        </w:rPr>
        <w:t> </w:t>
      </w:r>
      <w:r>
        <w:rPr/>
        <w:t>Resultado</w:t>
      </w:r>
      <w:r>
        <w:rPr>
          <w:spacing w:val="-13"/>
        </w:rPr>
        <w:t> </w:t>
      </w:r>
      <w:r>
        <w:rPr/>
        <w:t>Abrangente,</w:t>
      </w:r>
      <w:r>
        <w:rPr>
          <w:spacing w:val="-2"/>
        </w:rPr>
        <w:t> </w:t>
      </w:r>
      <w:r>
        <w:rPr/>
        <w:t>Demonstração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Mutações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Patrimônio</w:t>
      </w:r>
      <w:r>
        <w:rPr>
          <w:spacing w:val="-2"/>
        </w:rPr>
        <w:t> </w:t>
      </w:r>
      <w:r>
        <w:rPr/>
        <w:t>Líquido,</w:t>
      </w:r>
      <w:r>
        <w:rPr>
          <w:spacing w:val="-2"/>
        </w:rPr>
        <w:t> </w:t>
      </w:r>
      <w:r>
        <w:rPr/>
        <w:t>Demonstração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Fluxo</w:t>
      </w:r>
      <w:r>
        <w:rPr>
          <w:spacing w:val="-2"/>
        </w:rPr>
        <w:t> </w:t>
      </w:r>
      <w:r>
        <w:rPr/>
        <w:t>de Caixa, a Demonstração do Valor Adicionado e as Notas Explicativas.</w:t>
      </w:r>
    </w:p>
    <w:p>
      <w:pPr>
        <w:pStyle w:val="BodyText"/>
        <w:spacing w:before="111"/>
        <w:ind w:left="242" w:right="241"/>
        <w:jc w:val="both"/>
      </w:pPr>
      <w:r>
        <w:rPr/>
        <w:t>Também se discutiu o relatório de Auditoria Independente elaborado pela empresa Consult Auditores Independentes, datado de 14.03.2025 e emitido com cinco ressalvas:</w:t>
      </w:r>
      <w:r>
        <w:rPr>
          <w:spacing w:val="-5"/>
        </w:rPr>
        <w:t> </w:t>
      </w:r>
      <w:r>
        <w:rPr>
          <w:b/>
        </w:rPr>
        <w:t>I) </w:t>
      </w:r>
      <w:r>
        <w:rPr/>
        <w:t>Depósitos vinculados a ações judiciais/administrativas;</w:t>
      </w:r>
      <w:r>
        <w:rPr>
          <w:spacing w:val="-6"/>
        </w:rPr>
        <w:t> </w:t>
      </w:r>
      <w:r>
        <w:rPr>
          <w:b/>
        </w:rPr>
        <w:t>II) </w:t>
      </w:r>
      <w:r>
        <w:rPr/>
        <w:t>Provisões para passivos contingentes trabalhistas;</w:t>
      </w:r>
      <w:r>
        <w:rPr>
          <w:spacing w:val="-3"/>
        </w:rPr>
        <w:t> </w:t>
      </w:r>
      <w:r>
        <w:rPr>
          <w:b/>
        </w:rPr>
        <w:t>III) </w:t>
      </w:r>
      <w:r>
        <w:rPr/>
        <w:t>Retificação de Erros - Procedimento</w:t>
      </w:r>
      <w:r>
        <w:rPr>
          <w:spacing w:val="-9"/>
        </w:rPr>
        <w:t> </w:t>
      </w:r>
      <w:r>
        <w:rPr/>
        <w:t>Contábeis</w:t>
      </w:r>
      <w:r>
        <w:rPr>
          <w:spacing w:val="-9"/>
        </w:rPr>
        <w:t> </w:t>
      </w:r>
      <w:r>
        <w:rPr/>
        <w:t>Incorretos;</w:t>
      </w:r>
      <w:r>
        <w:rPr>
          <w:spacing w:val="-5"/>
        </w:rPr>
        <w:t> </w:t>
      </w:r>
      <w:r>
        <w:rPr>
          <w:b/>
        </w:rPr>
        <w:t>Ênfase</w:t>
      </w:r>
      <w:r>
        <w:rPr/>
        <w:t>:</w:t>
      </w:r>
      <w:r>
        <w:rPr>
          <w:spacing w:val="-5"/>
        </w:rPr>
        <w:t> </w:t>
      </w:r>
      <w:r>
        <w:rPr>
          <w:b/>
        </w:rPr>
        <w:t>I)</w:t>
      </w:r>
      <w:r>
        <w:rPr>
          <w:b/>
          <w:spacing w:val="-13"/>
        </w:rPr>
        <w:t> </w:t>
      </w:r>
      <w:r>
        <w:rPr/>
        <w:t>Avaliação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mensuração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obrigação</w:t>
      </w:r>
      <w:r>
        <w:rPr>
          <w:spacing w:val="-9"/>
        </w:rPr>
        <w:t> </w:t>
      </w:r>
      <w:r>
        <w:rPr/>
        <w:t>atuarial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benefício pós-emprego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plano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pensão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benefício</w:t>
      </w:r>
      <w:r>
        <w:rPr>
          <w:spacing w:val="-5"/>
        </w:rPr>
        <w:t> </w:t>
      </w:r>
      <w:r>
        <w:rPr/>
        <w:t>definido,</w:t>
      </w:r>
      <w:r>
        <w:rPr>
          <w:spacing w:val="-2"/>
        </w:rPr>
        <w:t> </w:t>
      </w:r>
      <w:r>
        <w:rPr>
          <w:b/>
        </w:rPr>
        <w:t>II)</w:t>
      </w:r>
      <w:r>
        <w:rPr>
          <w:b/>
          <w:spacing w:val="-8"/>
        </w:rPr>
        <w:t> </w:t>
      </w:r>
      <w:r>
        <w:rPr/>
        <w:t>Resultado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Exercício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Eventos</w:t>
      </w:r>
      <w:r>
        <w:rPr>
          <w:spacing w:val="-5"/>
        </w:rPr>
        <w:t> </w:t>
      </w:r>
      <w:r>
        <w:rPr/>
        <w:t>não operacionais, </w:t>
      </w:r>
      <w:r>
        <w:rPr>
          <w:b/>
        </w:rPr>
        <w:t>III) </w:t>
      </w:r>
      <w:r>
        <w:rPr/>
        <w:t>Reapresentação dos valores correspondentes do exercício social de 2023;</w:t>
      </w:r>
    </w:p>
    <w:p>
      <w:pPr>
        <w:pStyle w:val="BodyText"/>
        <w:spacing w:before="226"/>
      </w:pPr>
    </w:p>
    <w:p>
      <w:pPr>
        <w:pStyle w:val="Heading1"/>
        <w:numPr>
          <w:ilvl w:val="0"/>
          <w:numId w:val="1"/>
        </w:numPr>
        <w:tabs>
          <w:tab w:pos="509" w:val="left" w:leader="none"/>
        </w:tabs>
        <w:spacing w:line="240" w:lineRule="auto" w:before="0" w:after="0"/>
        <w:ind w:left="242" w:right="339" w:firstLine="0"/>
        <w:jc w:val="left"/>
      </w:pPr>
      <w:r>
        <w:rPr/>
        <w:t>COMENTÁRIOS DO COAUD SOBRE AS RESSALVAS E ÊNFASES DO RELATÓRIO DOS AUDITORES INDEPENDENTES</w:t>
      </w:r>
    </w:p>
    <w:p>
      <w:pPr>
        <w:pStyle w:val="BodyText"/>
        <w:spacing w:before="116"/>
        <w:ind w:left="242" w:right="249"/>
        <w:jc w:val="both"/>
      </w:pPr>
      <w:r>
        <w:rPr/>
        <w:t>Este Comitê tem o mesmo entendimento dos Auditores Independentes no que tange às ressalvas e às ênfases, apresentadas no relatório das Demonstrações Financeiras referente ao exercício social findo </w:t>
      </w:r>
      <w:r>
        <w:rPr>
          <w:spacing w:val="-2"/>
        </w:rPr>
        <w:t>31.12.2024.</w:t>
      </w:r>
    </w:p>
    <w:p>
      <w:pPr>
        <w:pStyle w:val="BodyText"/>
        <w:spacing w:before="231"/>
      </w:pP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237"/>
        <w:jc w:val="left"/>
      </w:pPr>
      <w:r>
        <w:rPr>
          <w:spacing w:val="-2"/>
        </w:rPr>
        <w:t>RECOMENDAÇÕES</w:t>
      </w:r>
    </w:p>
    <w:p>
      <w:pPr>
        <w:pStyle w:val="BodyText"/>
        <w:spacing w:before="118"/>
        <w:ind w:left="242" w:right="240"/>
        <w:jc w:val="both"/>
      </w:pPr>
      <w:r>
        <w:rPr/>
        <w:t>O</w:t>
      </w:r>
      <w:r>
        <w:rPr>
          <w:spacing w:val="-7"/>
        </w:rPr>
        <w:t> </w:t>
      </w:r>
      <w:r>
        <w:rPr/>
        <w:t>COAUD</w:t>
      </w:r>
      <w:r>
        <w:rPr>
          <w:spacing w:val="-7"/>
        </w:rPr>
        <w:t> </w:t>
      </w:r>
      <w:r>
        <w:rPr/>
        <w:t>recomenda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administração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CDRJ:</w:t>
      </w:r>
      <w:r>
        <w:rPr>
          <w:spacing w:val="-12"/>
        </w:rPr>
        <w:t> </w:t>
      </w:r>
      <w:r>
        <w:rPr>
          <w:b/>
        </w:rPr>
        <w:t>I)</w:t>
      </w:r>
      <w:r>
        <w:rPr>
          <w:b/>
          <w:spacing w:val="-10"/>
        </w:rPr>
        <w:t> </w:t>
      </w:r>
      <w:r>
        <w:rPr/>
        <w:t>que</w:t>
      </w:r>
      <w:r>
        <w:rPr>
          <w:spacing w:val="-6"/>
        </w:rPr>
        <w:t> </w:t>
      </w:r>
      <w:r>
        <w:rPr/>
        <w:t>promova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melhoria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fluxo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informações</w:t>
      </w:r>
      <w:r>
        <w:rPr>
          <w:spacing w:val="-5"/>
        </w:rPr>
        <w:t> </w:t>
      </w:r>
      <w:r>
        <w:rPr/>
        <w:t>entre as áreas jurídica e contabilidade, no que se refere aos depósitos judiciais, visando implantar uma conciliação periódica e efetiva dos valores pagos a título de cumprimento de sentenças ou dispêndios de manejo recursal, inclusive quanto ao decorrente levantamento dos valores referentes a condenações da outra parte; </w:t>
      </w:r>
      <w:r>
        <w:rPr>
          <w:b/>
        </w:rPr>
        <w:t>II) </w:t>
      </w:r>
      <w:r>
        <w:rPr/>
        <w:t>que seja revisado o fluxo processual e instrução das áreas para envio das documentações dentro dos prazos devidos para a contabilização dos documentos dentro do período de competência;</w:t>
      </w:r>
      <w:r>
        <w:rPr>
          <w:spacing w:val="-6"/>
        </w:rPr>
        <w:t> </w:t>
      </w:r>
      <w:r>
        <w:rPr>
          <w:b/>
        </w:rPr>
        <w:t>III) </w:t>
      </w:r>
      <w:r>
        <w:rPr/>
        <w:t>que seja implantado um processo formal para análise, monitoramento e divulgação de partes relacionadas;</w:t>
      </w:r>
    </w:p>
    <w:p>
      <w:pPr>
        <w:pStyle w:val="BodyText"/>
        <w:spacing w:line="237" w:lineRule="auto"/>
        <w:ind w:left="242" w:right="241"/>
        <w:jc w:val="both"/>
      </w:pPr>
      <w:r>
        <w:rPr>
          <w:b/>
        </w:rPr>
        <w:t>IV) </w:t>
      </w:r>
      <w:r>
        <w:rPr/>
        <w:t>que sejam formalizados os critérios utilizados na constituição da PECLD; </w:t>
      </w:r>
      <w:r>
        <w:rPr>
          <w:b/>
        </w:rPr>
        <w:t>V) </w:t>
      </w:r>
      <w:r>
        <w:rPr/>
        <w:t>que seja elaborado um planejamento tributário para a CDRJ;</w:t>
      </w:r>
      <w:r>
        <w:rPr>
          <w:spacing w:val="-2"/>
        </w:rPr>
        <w:t> </w:t>
      </w:r>
      <w:r>
        <w:rPr>
          <w:b/>
        </w:rPr>
        <w:t>VI) </w:t>
      </w:r>
      <w:r>
        <w:rPr/>
        <w:t>que se implemente o processo de gestão de riscos em toda a Companhia,</w:t>
      </w:r>
      <w:r>
        <w:rPr>
          <w:spacing w:val="-9"/>
        </w:rPr>
        <w:t> </w:t>
      </w:r>
      <w:r>
        <w:rPr/>
        <w:t>compreendendo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atividades</w:t>
      </w:r>
      <w:r>
        <w:rPr>
          <w:spacing w:val="-9"/>
        </w:rPr>
        <w:t> </w:t>
      </w:r>
      <w:r>
        <w:rPr/>
        <w:t>de:</w:t>
      </w:r>
      <w:r>
        <w:rPr>
          <w:spacing w:val="-9"/>
        </w:rPr>
        <w:t> </w:t>
      </w:r>
      <w:r>
        <w:rPr/>
        <w:t>identificação,</w:t>
      </w:r>
      <w:r>
        <w:rPr>
          <w:spacing w:val="-9"/>
        </w:rPr>
        <w:t> </w:t>
      </w:r>
      <w:r>
        <w:rPr/>
        <w:t>avaliação,</w:t>
      </w:r>
      <w:r>
        <w:rPr>
          <w:spacing w:val="-9"/>
        </w:rPr>
        <w:t> </w:t>
      </w:r>
      <w:r>
        <w:rPr/>
        <w:t>implementação</w:t>
      </w:r>
      <w:r>
        <w:rPr>
          <w:spacing w:val="-9"/>
        </w:rPr>
        <w:t> </w:t>
      </w:r>
      <w:r>
        <w:rPr/>
        <w:t>dos</w:t>
      </w:r>
      <w:r>
        <w:rPr>
          <w:spacing w:val="-9"/>
        </w:rPr>
        <w:t> </w:t>
      </w:r>
      <w:r>
        <w:rPr/>
        <w:t>planos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ação</w:t>
      </w:r>
      <w:r>
        <w:rPr>
          <w:spacing w:val="-9"/>
        </w:rPr>
        <w:t> </w:t>
      </w:r>
      <w:r>
        <w:rPr/>
        <w:t>e monitoramento dos riscos, incluindo as atividades de integridade;</w:t>
      </w:r>
      <w:r>
        <w:rPr>
          <w:spacing w:val="-7"/>
        </w:rPr>
        <w:t> </w:t>
      </w:r>
      <w:r>
        <w:rPr>
          <w:b/>
        </w:rPr>
        <w:t>VII) </w:t>
      </w:r>
      <w:r>
        <w:rPr/>
        <w:t>a regularização das ressalvas do relatório de opinião dos auditores independente</w:t>
      </w:r>
      <w:r>
        <w:rPr>
          <w:spacing w:val="-6"/>
        </w:rPr>
        <w:t> </w:t>
      </w:r>
      <w:r>
        <w:rPr>
          <w:b/>
        </w:rPr>
        <w:t>VIII) </w:t>
      </w:r>
      <w:r>
        <w:rPr/>
        <w:t>elaboração de um plano de ação com data e responsável para atendimento as recomendações contidas no relatório circunstanciado dos auditores </w:t>
      </w:r>
      <w:r>
        <w:rPr>
          <w:spacing w:val="-2"/>
        </w:rPr>
        <w:t>independentes.</w:t>
      </w:r>
    </w:p>
    <w:p>
      <w:pPr>
        <w:pStyle w:val="BodyText"/>
        <w:spacing w:before="232"/>
      </w:pP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237"/>
        <w:jc w:val="left"/>
      </w:pPr>
      <w:r>
        <w:rPr>
          <w:spacing w:val="-2"/>
        </w:rPr>
        <w:t>CONCLUSÃO</w:t>
      </w:r>
    </w:p>
    <w:p>
      <w:pPr>
        <w:pStyle w:val="BodyText"/>
        <w:spacing w:before="117"/>
        <w:ind w:left="242" w:right="239"/>
        <w:jc w:val="both"/>
      </w:pPr>
      <w:r>
        <w:rPr/>
        <w:t>Considerando as informações prestadas pela Companhia, o Relatório de Auditoria Independente, emitido pela</w:t>
      </w:r>
      <w:r>
        <w:rPr>
          <w:spacing w:val="-4"/>
        </w:rPr>
        <w:t> </w:t>
      </w:r>
      <w:r>
        <w:rPr/>
        <w:t>empresa</w:t>
      </w:r>
      <w:r>
        <w:rPr>
          <w:spacing w:val="-4"/>
        </w:rPr>
        <w:t> </w:t>
      </w:r>
      <w:r>
        <w:rPr/>
        <w:t>Consult</w:t>
      </w:r>
      <w:r>
        <w:rPr>
          <w:spacing w:val="-15"/>
        </w:rPr>
        <w:t> </w:t>
      </w:r>
      <w:r>
        <w:rPr/>
        <w:t>Auditores</w:t>
      </w:r>
      <w:r>
        <w:rPr>
          <w:spacing w:val="-4"/>
        </w:rPr>
        <w:t> </w:t>
      </w:r>
      <w:r>
        <w:rPr/>
        <w:t>Independentes</w:t>
      </w:r>
      <w:r>
        <w:rPr>
          <w:spacing w:val="-4"/>
        </w:rPr>
        <w:t> </w:t>
      </w:r>
      <w:r>
        <w:rPr/>
        <w:t>datado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14.03.2025,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ressalva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assuntos pertinentes que lhe foram dados a conhecer, estão adequadamente divulgados nas Demonstrações Financeiras</w:t>
      </w:r>
      <w:r>
        <w:rPr>
          <w:spacing w:val="-6"/>
        </w:rPr>
        <w:t> </w:t>
      </w:r>
      <w:r>
        <w:rPr/>
        <w:t>referentes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exercício</w:t>
      </w:r>
      <w:r>
        <w:rPr>
          <w:spacing w:val="-6"/>
        </w:rPr>
        <w:t> </w:t>
      </w:r>
      <w:r>
        <w:rPr/>
        <w:t>social</w:t>
      </w:r>
      <w:r>
        <w:rPr>
          <w:spacing w:val="-6"/>
        </w:rPr>
        <w:t> </w:t>
      </w:r>
      <w:r>
        <w:rPr/>
        <w:t>findo</w:t>
      </w:r>
      <w:r>
        <w:rPr>
          <w:spacing w:val="-6"/>
        </w:rPr>
        <w:t> </w:t>
      </w:r>
      <w:r>
        <w:rPr/>
        <w:t>31.12.2024,</w:t>
      </w:r>
      <w:r>
        <w:rPr>
          <w:spacing w:val="-6"/>
        </w:rPr>
        <w:t> </w:t>
      </w:r>
      <w:r>
        <w:rPr/>
        <w:t>este</w:t>
      </w:r>
      <w:r>
        <w:rPr>
          <w:spacing w:val="-6"/>
        </w:rPr>
        <w:t> </w:t>
      </w:r>
      <w:r>
        <w:rPr/>
        <w:t>COAUD,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uso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suas</w:t>
      </w:r>
      <w:r>
        <w:rPr>
          <w:spacing w:val="-6"/>
        </w:rPr>
        <w:t> </w:t>
      </w:r>
      <w:r>
        <w:rPr/>
        <w:t>atribuições</w:t>
      </w:r>
      <w:r>
        <w:rPr>
          <w:spacing w:val="-6"/>
        </w:rPr>
        <w:t> </w:t>
      </w:r>
      <w:r>
        <w:rPr/>
        <w:t>legais e estatutárias, recomenda ao Conselho de</w:t>
      </w:r>
      <w:r>
        <w:rPr>
          <w:spacing w:val="-5"/>
        </w:rPr>
        <w:t> </w:t>
      </w:r>
      <w:r>
        <w:rPr/>
        <w:t>Administração a</w:t>
      </w:r>
      <w:r>
        <w:rPr>
          <w:spacing w:val="-1"/>
        </w:rPr>
        <w:t> </w:t>
      </w:r>
      <w:r>
        <w:rPr>
          <w:b/>
        </w:rPr>
        <w:t>APROVAÇÃO </w:t>
      </w:r>
      <w:r>
        <w:rPr/>
        <w:t>das demonstrações financeiras e</w:t>
      </w:r>
      <w:r>
        <w:rPr>
          <w:spacing w:val="-6"/>
        </w:rPr>
        <w:t> </w:t>
      </w:r>
      <w:r>
        <w:rPr/>
        <w:t>notas</w:t>
      </w:r>
      <w:r>
        <w:rPr>
          <w:spacing w:val="-6"/>
        </w:rPr>
        <w:t> </w:t>
      </w:r>
      <w:r>
        <w:rPr/>
        <w:t>explicativas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CDRJ</w:t>
      </w:r>
      <w:r>
        <w:rPr>
          <w:spacing w:val="-6"/>
        </w:rPr>
        <w:t> </w:t>
      </w:r>
      <w:r>
        <w:rPr/>
        <w:t>referente</w:t>
      </w:r>
      <w:r>
        <w:rPr>
          <w:spacing w:val="-6"/>
        </w:rPr>
        <w:t> </w:t>
      </w:r>
      <w:r>
        <w:rPr/>
        <w:t>às</w:t>
      </w:r>
      <w:r>
        <w:rPr>
          <w:spacing w:val="-6"/>
        </w:rPr>
        <w:t> </w:t>
      </w:r>
      <w:r>
        <w:rPr/>
        <w:t>Demonstrações</w:t>
      </w:r>
      <w:r>
        <w:rPr>
          <w:spacing w:val="-6"/>
        </w:rPr>
        <w:t> </w:t>
      </w:r>
      <w:r>
        <w:rPr/>
        <w:t>Financeiras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exercício</w:t>
      </w:r>
      <w:r>
        <w:rPr>
          <w:spacing w:val="-6"/>
        </w:rPr>
        <w:t> </w:t>
      </w:r>
      <w:r>
        <w:rPr/>
        <w:t>social</w:t>
      </w:r>
      <w:r>
        <w:rPr>
          <w:spacing w:val="-6"/>
        </w:rPr>
        <w:t> </w:t>
      </w:r>
      <w:r>
        <w:rPr/>
        <w:t>findo</w:t>
      </w:r>
      <w:r>
        <w:rPr>
          <w:spacing w:val="-6"/>
        </w:rPr>
        <w:t> </w:t>
      </w:r>
      <w:r>
        <w:rPr/>
        <w:t>31.12.2024.</w:t>
      </w:r>
    </w:p>
    <w:p>
      <w:pPr>
        <w:pStyle w:val="BodyText"/>
        <w:spacing w:before="226"/>
      </w:pPr>
    </w:p>
    <w:p>
      <w:pPr>
        <w:spacing w:before="1"/>
        <w:ind w:left="15" w:right="15" w:firstLine="0"/>
        <w:jc w:val="center"/>
        <w:rPr>
          <w:i/>
          <w:sz w:val="24"/>
        </w:rPr>
      </w:pPr>
      <w:r>
        <w:rPr>
          <w:i/>
          <w:sz w:val="24"/>
        </w:rPr>
        <w:t>(assinado</w:t>
      </w:r>
      <w:r>
        <w:rPr>
          <w:i/>
          <w:spacing w:val="-15"/>
          <w:sz w:val="24"/>
        </w:rPr>
        <w:t> </w:t>
      </w:r>
      <w:r>
        <w:rPr>
          <w:i/>
          <w:spacing w:val="-2"/>
          <w:sz w:val="24"/>
        </w:rPr>
        <w:t>eletronicamente)</w:t>
      </w:r>
    </w:p>
    <w:p>
      <w:pPr>
        <w:pStyle w:val="Heading1"/>
        <w:spacing w:before="117"/>
        <w:ind w:left="13" w:right="15"/>
        <w:jc w:val="center"/>
      </w:pPr>
      <w:r>
        <w:rPr>
          <w:spacing w:val="-2"/>
        </w:rPr>
        <w:t>JURANDIR</w:t>
      </w:r>
      <w:r>
        <w:rPr>
          <w:spacing w:val="-4"/>
        </w:rPr>
        <w:t> </w:t>
      </w:r>
      <w:r>
        <w:rPr>
          <w:spacing w:val="-2"/>
        </w:rPr>
        <w:t>LEMOS</w:t>
      </w:r>
      <w:r>
        <w:rPr>
          <w:spacing w:val="-4"/>
        </w:rPr>
        <w:t> </w:t>
      </w:r>
      <w:r>
        <w:rPr>
          <w:spacing w:val="-2"/>
        </w:rPr>
        <w:t>FILHO</w:t>
      </w:r>
    </w:p>
    <w:p>
      <w:pPr>
        <w:pStyle w:val="Heading1"/>
        <w:spacing w:after="0"/>
        <w:jc w:val="center"/>
        <w:sectPr>
          <w:pgSz w:w="11900" w:h="16840"/>
          <w:pgMar w:header="0" w:footer="181" w:top="500" w:bottom="380" w:left="566" w:right="566"/>
        </w:sectPr>
      </w:pPr>
    </w:p>
    <w:p>
      <w:pPr>
        <w:pStyle w:val="BodyText"/>
        <w:spacing w:before="60"/>
        <w:ind w:left="14" w:right="15"/>
        <w:jc w:val="center"/>
      </w:pPr>
      <w:r>
        <w:rPr>
          <w:spacing w:val="-2"/>
        </w:rPr>
        <w:t>Presidente</w:t>
      </w:r>
    </w:p>
    <w:p>
      <w:pPr>
        <w:pStyle w:val="BodyText"/>
        <w:spacing w:before="235"/>
      </w:pPr>
    </w:p>
    <w:p>
      <w:pPr>
        <w:spacing w:before="0"/>
        <w:ind w:left="15" w:right="15" w:firstLine="0"/>
        <w:jc w:val="center"/>
        <w:rPr>
          <w:i/>
          <w:sz w:val="24"/>
        </w:rPr>
      </w:pPr>
      <w:r>
        <w:rPr>
          <w:i/>
          <w:sz w:val="24"/>
        </w:rPr>
        <w:t>(assinado</w:t>
      </w:r>
      <w:r>
        <w:rPr>
          <w:i/>
          <w:spacing w:val="-15"/>
          <w:sz w:val="24"/>
        </w:rPr>
        <w:t> </w:t>
      </w:r>
      <w:r>
        <w:rPr>
          <w:i/>
          <w:spacing w:val="-2"/>
          <w:sz w:val="24"/>
        </w:rPr>
        <w:t>eletronicamente)</w:t>
      </w:r>
    </w:p>
    <w:p>
      <w:pPr>
        <w:pStyle w:val="Heading1"/>
        <w:spacing w:before="118"/>
        <w:ind w:left="0" w:right="15"/>
        <w:jc w:val="center"/>
      </w:pPr>
      <w:r>
        <w:rPr>
          <w:spacing w:val="-2"/>
        </w:rPr>
        <w:t>MAURÍCIO</w:t>
      </w:r>
      <w:r>
        <w:rPr>
          <w:spacing w:val="-5"/>
        </w:rPr>
        <w:t> </w:t>
      </w:r>
      <w:r>
        <w:rPr>
          <w:spacing w:val="-2"/>
        </w:rPr>
        <w:t>AUGUSTO</w:t>
      </w:r>
      <w:r>
        <w:rPr>
          <w:spacing w:val="-4"/>
        </w:rPr>
        <w:t> </w:t>
      </w:r>
      <w:r>
        <w:rPr>
          <w:spacing w:val="-2"/>
        </w:rPr>
        <w:t>SOUZA</w:t>
      </w:r>
      <w:r>
        <w:rPr>
          <w:spacing w:val="-5"/>
        </w:rPr>
        <w:t> </w:t>
      </w:r>
      <w:r>
        <w:rPr>
          <w:spacing w:val="-2"/>
        </w:rPr>
        <w:t>LOPES</w:t>
      </w:r>
    </w:p>
    <w:p>
      <w:pPr>
        <w:pStyle w:val="BodyText"/>
        <w:spacing w:before="117"/>
        <w:ind w:left="11" w:right="15"/>
        <w:jc w:val="center"/>
      </w:pPr>
      <w:r>
        <w:rPr>
          <w:spacing w:val="-2"/>
        </w:rPr>
        <w:t>Membro</w:t>
      </w:r>
    </w:p>
    <w:p>
      <w:pPr>
        <w:pStyle w:val="BodyText"/>
        <w:spacing w:before="235"/>
      </w:pPr>
    </w:p>
    <w:p>
      <w:pPr>
        <w:spacing w:before="0"/>
        <w:ind w:left="15" w:right="15" w:firstLine="0"/>
        <w:jc w:val="center"/>
        <w:rPr>
          <w:i/>
          <w:sz w:val="24"/>
        </w:rPr>
      </w:pPr>
      <w:r>
        <w:rPr>
          <w:i/>
          <w:sz w:val="24"/>
        </w:rPr>
        <w:t>(assinado</w:t>
      </w:r>
      <w:r>
        <w:rPr>
          <w:i/>
          <w:spacing w:val="-15"/>
          <w:sz w:val="24"/>
        </w:rPr>
        <w:t> </w:t>
      </w:r>
      <w:r>
        <w:rPr>
          <w:i/>
          <w:spacing w:val="-2"/>
          <w:sz w:val="24"/>
        </w:rPr>
        <w:t>eletronicamente)</w:t>
      </w:r>
    </w:p>
    <w:p>
      <w:pPr>
        <w:pStyle w:val="Heading1"/>
        <w:spacing w:before="118"/>
        <w:ind w:left="13" w:right="15"/>
        <w:jc w:val="center"/>
      </w:pPr>
      <w:r>
        <w:rPr>
          <w:spacing w:val="-2"/>
        </w:rPr>
        <w:t>HERBERT</w:t>
      </w:r>
      <w:r>
        <w:rPr>
          <w:spacing w:val="-6"/>
        </w:rPr>
        <w:t> </w:t>
      </w:r>
      <w:r>
        <w:rPr>
          <w:spacing w:val="-2"/>
        </w:rPr>
        <w:t>MARCUSE</w:t>
      </w:r>
      <w:r>
        <w:rPr>
          <w:spacing w:val="-5"/>
        </w:rPr>
        <w:t> </w:t>
      </w:r>
      <w:r>
        <w:rPr>
          <w:spacing w:val="-2"/>
        </w:rPr>
        <w:t>MEGEREDO</w:t>
      </w:r>
      <w:r>
        <w:rPr>
          <w:spacing w:val="-6"/>
        </w:rPr>
        <w:t> </w:t>
      </w:r>
      <w:r>
        <w:rPr>
          <w:spacing w:val="-4"/>
        </w:rPr>
        <w:t>LEAL</w:t>
      </w:r>
    </w:p>
    <w:p>
      <w:pPr>
        <w:pStyle w:val="BodyText"/>
        <w:spacing w:before="117"/>
        <w:ind w:left="11" w:right="15"/>
        <w:jc w:val="center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460378</wp:posOffset>
            </wp:positionH>
            <wp:positionV relativeFrom="paragraph">
              <wp:posOffset>406211</wp:posOffset>
            </wp:positionV>
            <wp:extent cx="1082713" cy="469428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13" cy="46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Membro</w:t>
      </w:r>
    </w:p>
    <w:p>
      <w:pPr>
        <w:pStyle w:val="BodyText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437664</wp:posOffset>
                </wp:positionH>
                <wp:positionV relativeFrom="paragraph">
                  <wp:posOffset>80957</wp:posOffset>
                </wp:positionV>
                <wp:extent cx="6678295" cy="1524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678295" cy="15240"/>
                          <a:chExt cx="6678295" cy="152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46175pt;margin-top:6.374574pt;width:525.85pt;height:1.2pt;mso-position-horizontal-relative:page;mso-position-vertical-relative:paragraph;z-index:-15728640;mso-wrap-distance-left:0;mso-wrap-distance-right:0" id="docshapegroup3" coordorigin="689,127" coordsize="10517,24">
                <v:shape style="position:absolute;left:689;top:127;width:10517;height:12" id="docshape4" coordorigin="689,127" coordsize="10517,12" path="m11194,139l689,139,689,127,11206,127,11194,139xe" filled="true" fillcolor="#999999" stroked="false">
                  <v:path arrowok="t"/>
                  <v:fill type="solid"/>
                </v:shape>
                <v:shape style="position:absolute;left:689;top:139;width:10517;height:12" id="docshape5" coordorigin="689,139" coordsize="10517,12" path="m11206,151l689,151,701,139,11206,139,11206,151xe" filled="true" fillcolor="#ededed" stroked="false">
                  <v:path arrowok="t"/>
                  <v:fill type="solid"/>
                </v:shape>
                <v:shape style="position:absolute;left:689;top:127;width:12;height:24" id="docshape6" coordorigin="689,127" coordsize="12,24" path="m689,151l689,127,701,127,701,139,689,151xe" filled="true" fillcolor="#999999" stroked="false">
                  <v:path arrowok="t"/>
                  <v:fill type="solid"/>
                </v:shape>
                <v:shape style="position:absolute;left:11193;top:127;width:12;height:24" id="docshape7" coordorigin="11194,127" coordsize="12,24" path="m11206,151l11194,151,11194,139,11206,127,11206,151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9" w:lineRule="auto" w:before="126" w:after="51"/>
        <w:ind w:left="1911" w:right="0" w:firstLine="0"/>
        <w:jc w:val="left"/>
        <w:rPr>
          <w:sz w:val="21"/>
        </w:rPr>
      </w:pPr>
      <w:r>
        <w:rPr>
          <w:sz w:val="21"/>
        </w:rPr>
        <w:t>Documento assinado eletronicamente por </w:t>
      </w:r>
      <w:r>
        <w:rPr>
          <w:b/>
          <w:sz w:val="21"/>
        </w:rPr>
        <w:t>Jurandir Lemos Filho</w:t>
      </w:r>
      <w:r>
        <w:rPr>
          <w:sz w:val="21"/>
        </w:rPr>
        <w:t>, </w:t>
      </w:r>
      <w:r>
        <w:rPr>
          <w:b/>
          <w:sz w:val="21"/>
        </w:rPr>
        <w:t>Presidente do Comitê</w:t>
      </w:r>
      <w:r>
        <w:rPr>
          <w:sz w:val="21"/>
        </w:rPr>
        <w:t>, em 19/03/2025, às 08:00, conforme horário oficial de Brasília, com fundamento no art. 3°, inciso V, da Portaria nº 446/2015 do Ministério dos Transportes.</w:t>
      </w:r>
    </w:p>
    <w:p>
      <w:pPr>
        <w:pStyle w:val="BodyText"/>
        <w:spacing w:line="23" w:lineRule="exact"/>
        <w:ind w:left="1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78295" cy="15240"/>
                <wp:effectExtent l="0" t="0" r="0" b="381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678295" cy="15240"/>
                          <a:chExt cx="6678295" cy="152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5.85pt;height:1.2pt;mso-position-horizontal-relative:char;mso-position-vertical-relative:line" id="docshapegroup8" coordorigin="0,0" coordsize="10517,24">
                <v:shape style="position:absolute;left:0;top:0;width:10517;height:12" id="docshape9" coordorigin="0,0" coordsize="10517,12" path="m10505,12l0,12,0,0,10517,0,10505,12xe" filled="true" fillcolor="#999999" stroked="false">
                  <v:path arrowok="t"/>
                  <v:fill type="solid"/>
                </v:shape>
                <v:shape style="position:absolute;left:0;top:11;width:10517;height:12" id="docshape10" coordorigin="0,12" coordsize="10517,12" path="m10517,24l0,24,12,12,10517,12,10517,24xe" filled="true" fillcolor="#ededed" stroked="false">
                  <v:path arrowok="t"/>
                  <v:fill type="solid"/>
                </v:shape>
                <v:shape style="position:absolute;left:0;top:0;width:12;height:24" id="docshape11" coordorigin="0,0" coordsize="12,24" path="m0,24l0,0,12,0,12,12,0,24xe" filled="true" fillcolor="#999999" stroked="false">
                  <v:path arrowok="t"/>
                  <v:fill type="solid"/>
                </v:shape>
                <v:shape style="position:absolute;left:10504;top:0;width:12;height:24" id="docshape12" coordorigin="10505,0" coordsize="12,24" path="m10517,24l10505,24,10505,12,10517,0,10517,24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line="249" w:lineRule="auto" w:before="126"/>
        <w:ind w:left="1911" w:right="215" w:firstLine="0"/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437664</wp:posOffset>
                </wp:positionH>
                <wp:positionV relativeFrom="paragraph">
                  <wp:posOffset>591108</wp:posOffset>
                </wp:positionV>
                <wp:extent cx="6678295" cy="1524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678295" cy="15240"/>
                          <a:chExt cx="6678295" cy="152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46175pt;margin-top:46.544014pt;width:525.85pt;height:1.2pt;mso-position-horizontal-relative:page;mso-position-vertical-relative:paragraph;z-index:-15727616;mso-wrap-distance-left:0;mso-wrap-distance-right:0" id="docshapegroup13" coordorigin="689,931" coordsize="10517,24">
                <v:shape style="position:absolute;left:689;top:930;width:10517;height:12" id="docshape14" coordorigin="689,931" coordsize="10517,12" path="m11194,943l689,943,689,931,11206,931,11194,943xe" filled="true" fillcolor="#999999" stroked="false">
                  <v:path arrowok="t"/>
                  <v:fill type="solid"/>
                </v:shape>
                <v:shape style="position:absolute;left:689;top:942;width:10517;height:12" id="docshape15" coordorigin="689,943" coordsize="10517,12" path="m11206,955l689,955,701,943,11206,943,11206,955xe" filled="true" fillcolor="#ededed" stroked="false">
                  <v:path arrowok="t"/>
                  <v:fill type="solid"/>
                </v:shape>
                <v:shape style="position:absolute;left:689;top:930;width:12;height:24" id="docshape16" coordorigin="689,931" coordsize="12,24" path="m689,955l689,931,701,931,701,943,689,955xe" filled="true" fillcolor="#999999" stroked="false">
                  <v:path arrowok="t"/>
                  <v:fill type="solid"/>
                </v:shape>
                <v:shape style="position:absolute;left:11193;top:930;width:12;height:24" id="docshape17" coordorigin="11194,931" coordsize="12,24" path="m11206,955l11194,955,11194,943,11206,931,11206,955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1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460378</wp:posOffset>
            </wp:positionH>
            <wp:positionV relativeFrom="paragraph">
              <wp:posOffset>61109</wp:posOffset>
            </wp:positionV>
            <wp:extent cx="1082713" cy="46942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13" cy="46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460378</wp:posOffset>
            </wp:positionH>
            <wp:positionV relativeFrom="paragraph">
              <wp:posOffset>666823</wp:posOffset>
            </wp:positionV>
            <wp:extent cx="1082713" cy="469428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13" cy="46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 assinado eletronicamente por </w:t>
      </w:r>
      <w:r>
        <w:rPr>
          <w:b/>
          <w:sz w:val="21"/>
        </w:rPr>
        <w:t>Herbert Marcuse Megeredo Leal</w:t>
      </w:r>
      <w:r>
        <w:rPr>
          <w:b/>
          <w:spacing w:val="-14"/>
          <w:sz w:val="21"/>
        </w:rPr>
        <w:t> </w:t>
      </w:r>
      <w:r>
        <w:rPr>
          <w:sz w:val="21"/>
        </w:rPr>
        <w:t>, </w:t>
      </w:r>
      <w:r>
        <w:rPr>
          <w:b/>
          <w:sz w:val="21"/>
        </w:rPr>
        <w:t>Membro do Comitê</w:t>
      </w:r>
      <w:r>
        <w:rPr>
          <w:sz w:val="21"/>
        </w:rPr>
        <w:t>, em 19/03/2025, às 09:19, conforme horário oficial de Brasília, com fundamento no art. 3°, inciso V,</w:t>
      </w:r>
      <w:r>
        <w:rPr>
          <w:spacing w:val="40"/>
          <w:sz w:val="21"/>
        </w:rPr>
        <w:t> </w:t>
      </w:r>
      <w:r>
        <w:rPr>
          <w:sz w:val="21"/>
        </w:rPr>
        <w:t>da Portaria nº 446/2015 do Ministério dos Transportes.</w:t>
      </w:r>
    </w:p>
    <w:p>
      <w:pPr>
        <w:spacing w:line="249" w:lineRule="auto" w:before="126" w:after="51"/>
        <w:ind w:left="1911" w:right="275" w:firstLine="0"/>
        <w:jc w:val="left"/>
        <w:rPr>
          <w:sz w:val="21"/>
        </w:rPr>
      </w:pPr>
      <w:r>
        <w:rPr>
          <w:sz w:val="21"/>
        </w:rPr>
        <w:t>Documento assinado eletronicamente por </w:t>
      </w:r>
      <w:r>
        <w:rPr>
          <w:b/>
          <w:sz w:val="21"/>
        </w:rPr>
        <w:t>Maurício Augusto Souza Lopes</w:t>
      </w:r>
      <w:r>
        <w:rPr>
          <w:b/>
          <w:spacing w:val="-26"/>
          <w:sz w:val="21"/>
        </w:rPr>
        <w:t> </w:t>
      </w:r>
      <w:r>
        <w:rPr>
          <w:sz w:val="21"/>
        </w:rPr>
        <w:t>,</w:t>
      </w:r>
      <w:r>
        <w:rPr>
          <w:spacing w:val="40"/>
          <w:sz w:val="21"/>
        </w:rPr>
        <w:t> </w:t>
      </w:r>
      <w:r>
        <w:rPr>
          <w:b/>
          <w:sz w:val="21"/>
        </w:rPr>
        <w:t>Membro do Comitê</w:t>
      </w:r>
      <w:r>
        <w:rPr>
          <w:sz w:val="21"/>
        </w:rPr>
        <w:t>, em 19/03/2025, às 09:21, conforme horário oficial de Brasília, com fundamento no art. 3°, inciso V, da Portaria nº 446/2015 do Ministério dos Transportes.</w:t>
      </w:r>
    </w:p>
    <w:p>
      <w:pPr>
        <w:pStyle w:val="BodyText"/>
        <w:spacing w:line="23" w:lineRule="exact"/>
        <w:ind w:left="1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78295" cy="15240"/>
                <wp:effectExtent l="0" t="0" r="0" b="381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678295" cy="15240"/>
                          <a:chExt cx="6678295" cy="1524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5.85pt;height:1.2pt;mso-position-horizontal-relative:char;mso-position-vertical-relative:line" id="docshapegroup18" coordorigin="0,0" coordsize="10517,24">
                <v:shape style="position:absolute;left:0;top:0;width:10517;height:12" id="docshape19" coordorigin="0,0" coordsize="10517,12" path="m10505,12l0,12,0,0,10517,0,10505,12xe" filled="true" fillcolor="#999999" stroked="false">
                  <v:path arrowok="t"/>
                  <v:fill type="solid"/>
                </v:shape>
                <v:shape style="position:absolute;left:0;top:11;width:10517;height:12" id="docshape20" coordorigin="0,12" coordsize="10517,12" path="m10517,24l0,24,12,12,10517,12,10517,24xe" filled="true" fillcolor="#ededed" stroked="false">
                  <v:path arrowok="t"/>
                  <v:fill type="solid"/>
                </v:shape>
                <v:shape style="position:absolute;left:0;top:0;width:12;height:24" id="docshape21" coordorigin="0,0" coordsize="12,24" path="m0,24l0,0,12,0,12,12,0,24xe" filled="true" fillcolor="#999999" stroked="false">
                  <v:path arrowok="t"/>
                  <v:fill type="solid"/>
                </v:shape>
                <v:shape style="position:absolute;left:10504;top:0;width:12;height:24" id="docshape22" coordorigin="10505,0" coordsize="12,24" path="m10517,24l10505,24,10505,12,10517,0,10517,24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line="249" w:lineRule="auto" w:before="234"/>
        <w:ind w:left="1482" w:right="0" w:firstLine="0"/>
        <w:jc w:val="left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479219</wp:posOffset>
            </wp:positionH>
            <wp:positionV relativeFrom="paragraph">
              <wp:posOffset>79949</wp:posOffset>
            </wp:positionV>
            <wp:extent cx="772461" cy="772461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61" cy="772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A autenticidade deste documento pode ser conferida no site </w:t>
      </w:r>
      <w:r>
        <w:rPr>
          <w:spacing w:val="-2"/>
          <w:sz w:val="21"/>
        </w:rPr>
        <w:t>https://sei.transportes.gov.br/sei/controlador_externo.php? acao=documento_conferir&amp;acao_origem=documento_conferir&amp;lang=pt_BR&amp;id_orgao_acesso_externo=0,</w:t>
      </w:r>
      <w:r>
        <w:rPr>
          <w:spacing w:val="40"/>
          <w:sz w:val="21"/>
        </w:rPr>
        <w:t>  </w:t>
      </w:r>
      <w:r>
        <w:rPr>
          <w:sz w:val="21"/>
        </w:rPr>
        <w:t>informando o código verificador </w:t>
      </w:r>
      <w:r>
        <w:rPr>
          <w:b/>
          <w:sz w:val="21"/>
        </w:rPr>
        <w:t>9514146 </w:t>
      </w:r>
      <w:r>
        <w:rPr>
          <w:sz w:val="21"/>
        </w:rPr>
        <w:t>e o código CRC</w:t>
      </w:r>
      <w:r>
        <w:rPr>
          <w:spacing w:val="40"/>
          <w:sz w:val="21"/>
        </w:rPr>
        <w:t> </w:t>
      </w:r>
      <w:r>
        <w:rPr>
          <w:b/>
          <w:sz w:val="21"/>
        </w:rPr>
        <w:t>138C6E2F</w:t>
      </w:r>
      <w:r>
        <w:rPr>
          <w:sz w:val="21"/>
        </w:rPr>
        <w:t>.</w:t>
      </w:r>
    </w:p>
    <w:p>
      <w:pPr>
        <w:pStyle w:val="BodyText"/>
        <w:spacing w:before="7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445235</wp:posOffset>
                </wp:positionH>
                <wp:positionV relativeFrom="paragraph">
                  <wp:posOffset>115055</wp:posOffset>
                </wp:positionV>
                <wp:extent cx="6663055" cy="15240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663055" cy="15240"/>
                          <a:chExt cx="6663055" cy="1524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66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7620">
                                <a:moveTo>
                                  <a:pt x="6655282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62853" y="0"/>
                                </a:lnTo>
                                <a:lnTo>
                                  <a:pt x="6655282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7571"/>
                            <a:ext cx="666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7620">
                                <a:moveTo>
                                  <a:pt x="6662853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62853" y="0"/>
                                </a:lnTo>
                                <a:lnTo>
                                  <a:pt x="6662853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655282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057926pt;margin-top:9.059462pt;width:524.65pt;height:1.2pt;mso-position-horizontal-relative:page;mso-position-vertical-relative:paragraph;z-index:-15726592;mso-wrap-distance-left:0;mso-wrap-distance-right:0" id="docshapegroup23" coordorigin="701,181" coordsize="10493,24">
                <v:shape style="position:absolute;left:701;top:181;width:10493;height:12" id="docshape24" coordorigin="701,181" coordsize="10493,12" path="m11182,193l701,193,701,181,11194,181,11182,193xe" filled="true" fillcolor="#999999" stroked="false">
                  <v:path arrowok="t"/>
                  <v:fill type="solid"/>
                </v:shape>
                <v:shape style="position:absolute;left:701;top:193;width:10493;height:12" id="docshape25" coordorigin="701,193" coordsize="10493,12" path="m11194,205l701,205,713,193,11194,193,11194,205xe" filled="true" fillcolor="#ededed" stroked="false">
                  <v:path arrowok="t"/>
                  <v:fill type="solid"/>
                </v:shape>
                <v:shape style="position:absolute;left:701;top:181;width:12;height:24" id="docshape26" coordorigin="701,181" coordsize="12,24" path="m701,205l701,181,713,181,713,193,701,205xe" filled="true" fillcolor="#999999" stroked="false">
                  <v:path arrowok="t"/>
                  <v:fill type="solid"/>
                </v:shape>
                <v:shape style="position:absolute;left:11181;top:181;width:12;height:24" id="docshape27" coordorigin="11182,181" coordsize="12,24" path="m11194,205l11182,205,11182,193,11194,181,11194,205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452807</wp:posOffset>
                </wp:positionH>
                <wp:positionV relativeFrom="paragraph">
                  <wp:posOffset>357341</wp:posOffset>
                </wp:positionV>
                <wp:extent cx="6647815" cy="309245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647815" cy="309245"/>
                          <a:chExt cx="6647815" cy="30924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" y="0"/>
                            <a:ext cx="664781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22860">
                                <a:moveTo>
                                  <a:pt x="6647701" y="15151"/>
                                </a:moveTo>
                                <a:lnTo>
                                  <a:pt x="0" y="15151"/>
                                </a:lnTo>
                                <a:lnTo>
                                  <a:pt x="0" y="22720"/>
                                </a:lnTo>
                                <a:lnTo>
                                  <a:pt x="6647701" y="22720"/>
                                </a:lnTo>
                                <a:lnTo>
                                  <a:pt x="6647701" y="15151"/>
                                </a:lnTo>
                                <a:close/>
                              </a:path>
                              <a:path w="6647815" h="22860">
                                <a:moveTo>
                                  <a:pt x="66477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81"/>
                                </a:lnTo>
                                <a:lnTo>
                                  <a:pt x="6647701" y="7581"/>
                                </a:lnTo>
                                <a:lnTo>
                                  <a:pt x="6647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83" y="56532"/>
                            <a:ext cx="2322647" cy="2521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3322" y="56532"/>
                            <a:ext cx="1096041" cy="252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654102pt;margin-top:28.137123pt;width:523.4500pt;height:24.35pt;mso-position-horizontal-relative:page;mso-position-vertical-relative:paragraph;z-index:-15726080;mso-wrap-distance-left:0;mso-wrap-distance-right:0" id="docshapegroup28" coordorigin="713,563" coordsize="10469,487">
                <v:shape style="position:absolute;left:713;top:562;width:10469;height:36" id="docshape29" coordorigin="713,563" coordsize="10469,36" path="m11182,587l713,587,713,599,11182,599,11182,587xm11182,563l713,563,713,575,11182,575,11182,563xe" filled="true" fillcolor="#333333" stroked="false">
                  <v:path arrowok="t"/>
                  <v:fill type="solid"/>
                </v:shape>
                <v:shape style="position:absolute;left:742;top:651;width:3658;height:398" type="#_x0000_t75" id="docshape30" stroked="false">
                  <v:imagedata r:id="rId9" o:title=""/>
                </v:shape>
                <v:shape style="position:absolute;left:9411;top:651;width:1727;height:398" type="#_x0000_t75" id="docshape31" stroked="false">
                  <v:imagedata r:id="rId10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3"/>
        <w:rPr>
          <w:sz w:val="20"/>
        </w:rPr>
      </w:pPr>
    </w:p>
    <w:p>
      <w:pPr>
        <w:tabs>
          <w:tab w:pos="9483" w:val="left" w:leader="none"/>
        </w:tabs>
        <w:spacing w:before="61"/>
        <w:ind w:left="147" w:right="0" w:firstLine="0"/>
        <w:jc w:val="left"/>
        <w:rPr>
          <w:sz w:val="18"/>
        </w:rPr>
      </w:pPr>
      <w:r>
        <w:rPr>
          <w:b/>
          <w:spacing w:val="-2"/>
          <w:sz w:val="18"/>
        </w:rPr>
        <w:t>Referência:</w:t>
      </w:r>
      <w:r>
        <w:rPr>
          <w:b/>
          <w:spacing w:val="7"/>
          <w:sz w:val="18"/>
        </w:rPr>
        <w:t> </w:t>
      </w:r>
      <w:r>
        <w:rPr>
          <w:spacing w:val="-2"/>
          <w:sz w:val="18"/>
        </w:rPr>
        <w:t>Processo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nº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50905.005921/2021-</w:t>
      </w:r>
      <w:r>
        <w:rPr>
          <w:spacing w:val="-5"/>
          <w:sz w:val="18"/>
        </w:rPr>
        <w:t>86</w:t>
      </w:r>
      <w:r>
        <w:rPr>
          <w:sz w:val="18"/>
        </w:rPr>
        <w:tab/>
        <w:t>SEI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9514146</w:t>
      </w:r>
    </w:p>
    <w:p>
      <w:pPr>
        <w:pStyle w:val="BodyText"/>
        <w:spacing w:before="63"/>
        <w:rPr>
          <w:sz w:val="18"/>
        </w:rPr>
      </w:pPr>
    </w:p>
    <w:p>
      <w:pPr>
        <w:spacing w:line="249" w:lineRule="auto" w:before="0"/>
        <w:ind w:left="147" w:right="5864" w:firstLine="0"/>
        <w:jc w:val="left"/>
        <w:rPr>
          <w:sz w:val="18"/>
        </w:rPr>
      </w:pPr>
      <w:r>
        <w:rPr>
          <w:sz w:val="18"/>
        </w:rPr>
        <w:t>Rua</w:t>
      </w:r>
      <w:r>
        <w:rPr>
          <w:spacing w:val="-7"/>
          <w:sz w:val="18"/>
        </w:rPr>
        <w:t> </w:t>
      </w:r>
      <w:r>
        <w:rPr>
          <w:sz w:val="18"/>
        </w:rPr>
        <w:t>Dom</w:t>
      </w:r>
      <w:r>
        <w:rPr>
          <w:spacing w:val="-7"/>
          <w:sz w:val="18"/>
        </w:rPr>
        <w:t> </w:t>
      </w:r>
      <w:r>
        <w:rPr>
          <w:sz w:val="18"/>
        </w:rPr>
        <w:t>Gerardo</w:t>
      </w:r>
      <w:r>
        <w:rPr>
          <w:spacing w:val="-7"/>
          <w:sz w:val="18"/>
        </w:rPr>
        <w:t> </w:t>
      </w:r>
      <w:r>
        <w:rPr>
          <w:sz w:val="18"/>
        </w:rPr>
        <w:t>35,</w:t>
      </w:r>
      <w:r>
        <w:rPr>
          <w:spacing w:val="-7"/>
          <w:sz w:val="18"/>
        </w:rPr>
        <w:t> </w:t>
      </w:r>
      <w:r>
        <w:rPr>
          <w:sz w:val="18"/>
        </w:rPr>
        <w:t>10º</w:t>
      </w:r>
      <w:r>
        <w:rPr>
          <w:spacing w:val="-7"/>
          <w:sz w:val="18"/>
        </w:rPr>
        <w:t> </w:t>
      </w:r>
      <w:r>
        <w:rPr>
          <w:sz w:val="18"/>
        </w:rPr>
        <w:t>andar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7"/>
          <w:sz w:val="18"/>
        </w:rPr>
        <w:t> </w:t>
      </w:r>
      <w:r>
        <w:rPr>
          <w:sz w:val="18"/>
        </w:rPr>
        <w:t>Edifício</w:t>
      </w:r>
      <w:r>
        <w:rPr>
          <w:spacing w:val="-7"/>
          <w:sz w:val="18"/>
        </w:rPr>
        <w:t> </w:t>
      </w:r>
      <w:r>
        <w:rPr>
          <w:sz w:val="18"/>
        </w:rPr>
        <w:t>Sede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7"/>
          <w:sz w:val="18"/>
        </w:rPr>
        <w:t> </w:t>
      </w:r>
      <w:r>
        <w:rPr>
          <w:sz w:val="18"/>
        </w:rPr>
        <w:t>Bairro</w:t>
      </w:r>
      <w:r>
        <w:rPr>
          <w:spacing w:val="-7"/>
          <w:sz w:val="18"/>
        </w:rPr>
        <w:t> </w:t>
      </w:r>
      <w:r>
        <w:rPr>
          <w:sz w:val="18"/>
        </w:rPr>
        <w:t>Centro Rio de Janeiro/RJ, CEP 20090-905</w:t>
      </w:r>
    </w:p>
    <w:p>
      <w:pPr>
        <w:spacing w:line="206" w:lineRule="exact" w:before="0"/>
        <w:ind w:left="147" w:right="0" w:firstLine="0"/>
        <w:jc w:val="left"/>
        <w:rPr>
          <w:sz w:val="18"/>
        </w:rPr>
      </w:pPr>
      <w:r>
        <w:rPr>
          <w:sz w:val="18"/>
        </w:rPr>
        <w:t>Telefone:</w:t>
      </w:r>
      <w:r>
        <w:rPr>
          <w:spacing w:val="-9"/>
          <w:sz w:val="18"/>
        </w:rPr>
        <w:t> </w:t>
      </w:r>
      <w:r>
        <w:rPr>
          <w:sz w:val="18"/>
        </w:rPr>
        <w:t>2122198600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8"/>
          <w:sz w:val="18"/>
        </w:rPr>
        <w:t> </w:t>
      </w:r>
      <w:hyperlink r:id="rId11">
        <w:r>
          <w:rPr>
            <w:spacing w:val="-2"/>
            <w:sz w:val="18"/>
          </w:rPr>
          <w:t>www.portosrio.gov.br</w:t>
        </w:r>
      </w:hyperlink>
    </w:p>
    <w:sectPr>
      <w:pgSz w:w="11900" w:h="16840"/>
      <w:pgMar w:header="0" w:footer="181" w:top="500" w:bottom="3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3088">
              <wp:simplePos x="0" y="0"/>
              <wp:positionH relativeFrom="page">
                <wp:posOffset>1483867</wp:posOffset>
              </wp:positionH>
              <wp:positionV relativeFrom="page">
                <wp:posOffset>10438730</wp:posOffset>
              </wp:positionV>
              <wp:extent cx="232981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298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>Relatório COAUD - DF's 2024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(9514146)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6.839996pt;margin-top:821.947266pt;width:183.45pt;height:13.2pt;mso-position-horizontal-relative:page;mso-position-vertical-relative:page;z-index:-1580339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Relatório COAUD - DF's 2024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(9514146)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3600">
              <wp:simplePos x="0" y="0"/>
              <wp:positionH relativeFrom="page">
                <wp:posOffset>4105599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SEI 50905.005921/2021-86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3.275543pt;margin-top:821.947266pt;width:157.950pt;height:13.2pt;mso-position-horizontal-relative:page;mso-position-vertical-relative:page;z-index:-1580288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SEI 50905.005921/2021-86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23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08" w:hanging="23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7" w:hanging="23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6" w:hanging="23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95" w:hanging="23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24" w:hanging="23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52" w:hanging="23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1" w:hanging="23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0" w:hanging="23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7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48"/>
      <w:ind w:left="12" w:right="15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79" w:hanging="237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portosrio.gov.br/" TargetMode="External"/><Relationship Id="rId5" Type="http://schemas.openxmlformats.org/officeDocument/2006/relationships/footer" Target="footer1.xml"/><Relationship Id="rId15" Type="http://schemas.openxmlformats.org/officeDocument/2006/relationships/customXml" Target="../customXml/item3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8" ma:contentTypeDescription="Crie um novo documento." ma:contentTypeScope="" ma:versionID="559a3b2fa4070bbc269c369a55ee6727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b161ccd822c81bcc8e20db4e1c13d595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79a54b-f3a7-422a-aadd-e93cd9a642b4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tatus de liberação" ma:internalName="Status_x0020_de_x0020_libera_x00e7__x00e3_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  <_Flow_SignoffStatus xmlns="4fb9253d-f0f1-4ad4-8352-487b04edcff2" xsi:nil="true"/>
  </documentManagement>
</p:properties>
</file>

<file path=customXml/itemProps1.xml><?xml version="1.0" encoding="utf-8"?>
<ds:datastoreItem xmlns:ds="http://schemas.openxmlformats.org/officeDocument/2006/customXml" ds:itemID="{B73A78F1-4841-4507-9942-B40446526BE4}"/>
</file>

<file path=customXml/itemProps2.xml><?xml version="1.0" encoding="utf-8"?>
<ds:datastoreItem xmlns:ds="http://schemas.openxmlformats.org/officeDocument/2006/customXml" ds:itemID="{1DF96128-2653-40C3-941B-FB071D8855A3}"/>
</file>

<file path=customXml/itemProps3.xml><?xml version="1.0" encoding="utf-8"?>
<ds:datastoreItem xmlns:ds="http://schemas.openxmlformats.org/officeDocument/2006/customXml" ds:itemID="{65B02D7C-F47F-4A55-B312-829D67EDC0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50905.005921/2021-86</dc:title>
  <dcterms:created xsi:type="dcterms:W3CDTF">2025-05-06T13:11:13Z</dcterms:created>
  <dcterms:modified xsi:type="dcterms:W3CDTF">2025-05-06T13:11:13Z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2025-03-19T00:00:00Z</vt:filetime>
  </property>
  <property fmtid="{D5CDD505-2E9C-101B-9397-08002B2CF9AE}" pid="6" name="ContentTypeId">
    <vt:lpwstr>0x0101000F4FC0F825396146AE1CF83D92E7C0CD</vt:lpwstr>
  </property>
</Properties>
</file>